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23D1" w14:textId="4BA2D244" w:rsidR="006241FD" w:rsidRPr="0045484C" w:rsidRDefault="006241FD" w:rsidP="002F7FB0">
      <w:pPr>
        <w:snapToGrid w:val="0"/>
        <w:spacing w:beforeLines="20" w:before="72" w:line="264" w:lineRule="auto"/>
        <w:jc w:val="center"/>
        <w:rPr>
          <w:szCs w:val="28"/>
        </w:rPr>
      </w:pPr>
      <w:r w:rsidRPr="0045484C">
        <w:rPr>
          <w:b/>
          <w:bCs/>
          <w:szCs w:val="28"/>
        </w:rPr>
        <w:t>National Chung Hsing University</w:t>
      </w:r>
      <w:r w:rsidR="002F7FB0" w:rsidRPr="0045484C">
        <w:rPr>
          <w:rFonts w:hint="eastAsia"/>
          <w:b/>
          <w:bCs/>
          <w:szCs w:val="28"/>
        </w:rPr>
        <w:t xml:space="preserve"> </w:t>
      </w:r>
      <w:r w:rsidRPr="0045484C">
        <w:rPr>
          <w:b/>
          <w:bCs/>
          <w:szCs w:val="28"/>
        </w:rPr>
        <w:t>Department of Mechanical</w:t>
      </w:r>
      <w:r w:rsidR="002F7FB0" w:rsidRPr="0045484C">
        <w:rPr>
          <w:rFonts w:hint="eastAsia"/>
          <w:b/>
          <w:bCs/>
          <w:szCs w:val="28"/>
        </w:rPr>
        <w:t xml:space="preserve"> </w:t>
      </w:r>
      <w:r w:rsidRPr="0045484C">
        <w:rPr>
          <w:b/>
          <w:bCs/>
          <w:szCs w:val="28"/>
        </w:rPr>
        <w:t xml:space="preserve">Engineering Regulations </w:t>
      </w:r>
      <w:r w:rsidR="00865B3E" w:rsidRPr="0045484C">
        <w:rPr>
          <w:b/>
          <w:bCs/>
          <w:szCs w:val="28"/>
        </w:rPr>
        <w:t xml:space="preserve">on Credit </w:t>
      </w:r>
      <w:r w:rsidR="009B508F" w:rsidRPr="0045484C">
        <w:rPr>
          <w:b/>
          <w:bCs/>
          <w:szCs w:val="28"/>
        </w:rPr>
        <w:t>Transfer</w:t>
      </w:r>
      <w:r w:rsidRPr="0045484C">
        <w:rPr>
          <w:b/>
          <w:bCs/>
          <w:szCs w:val="28"/>
        </w:rPr>
        <w:t xml:space="preserve"> Review</w:t>
      </w:r>
    </w:p>
    <w:p w14:paraId="3262D701" w14:textId="488E8443" w:rsidR="006241FD" w:rsidRPr="0045484C" w:rsidRDefault="00717514" w:rsidP="006241FD">
      <w:pPr>
        <w:snapToGrid w:val="0"/>
        <w:spacing w:beforeLines="20" w:before="72" w:line="264" w:lineRule="auto"/>
        <w:jc w:val="right"/>
        <w:rPr>
          <w:sz w:val="20"/>
        </w:rPr>
      </w:pPr>
      <w:r w:rsidRPr="0045484C">
        <w:rPr>
          <w:sz w:val="20"/>
        </w:rPr>
        <w:t>Approved by the Department Affairs Meeting on November 16, 2005</w:t>
      </w:r>
    </w:p>
    <w:p w14:paraId="1E74D569" w14:textId="44AA8870" w:rsidR="00717514" w:rsidRPr="0045484C" w:rsidRDefault="00717514" w:rsidP="006241FD">
      <w:pPr>
        <w:snapToGrid w:val="0"/>
        <w:spacing w:beforeLines="20" w:before="72" w:line="264" w:lineRule="auto"/>
        <w:jc w:val="right"/>
        <w:rPr>
          <w:sz w:val="20"/>
        </w:rPr>
      </w:pPr>
      <w:r w:rsidRPr="0045484C">
        <w:rPr>
          <w:sz w:val="20"/>
        </w:rPr>
        <w:t>Amended by the Dept. Affairs Meeting on October 18, 2006 (Articles 2, 3 revised)</w:t>
      </w:r>
    </w:p>
    <w:p w14:paraId="29CB0E63" w14:textId="4B00F3CA" w:rsidR="00717514" w:rsidRPr="0045484C" w:rsidRDefault="00717514" w:rsidP="006241FD">
      <w:pPr>
        <w:snapToGrid w:val="0"/>
        <w:spacing w:beforeLines="20" w:before="72" w:line="264" w:lineRule="auto"/>
        <w:jc w:val="right"/>
        <w:rPr>
          <w:sz w:val="20"/>
        </w:rPr>
      </w:pPr>
      <w:r w:rsidRPr="0045484C">
        <w:rPr>
          <w:sz w:val="20"/>
        </w:rPr>
        <w:t>Amended by the Dept. Affairs Meeting on May 7, 2008 (Article 2 revised)</w:t>
      </w:r>
    </w:p>
    <w:p w14:paraId="158ED946" w14:textId="5CBC4D1E" w:rsidR="00717514" w:rsidRPr="0045484C" w:rsidRDefault="00717514" w:rsidP="006241FD">
      <w:pPr>
        <w:snapToGrid w:val="0"/>
        <w:spacing w:beforeLines="20" w:before="72" w:line="264" w:lineRule="auto"/>
        <w:jc w:val="right"/>
        <w:rPr>
          <w:sz w:val="20"/>
        </w:rPr>
      </w:pPr>
      <w:r w:rsidRPr="0045484C">
        <w:rPr>
          <w:sz w:val="20"/>
        </w:rPr>
        <w:t>Amended by the Dept. Affairs Meeting on February 19, 2014 (Articles 1, 2, 3 revised)</w:t>
      </w:r>
    </w:p>
    <w:p w14:paraId="4367AA89" w14:textId="72C83B2E" w:rsidR="00717514" w:rsidRPr="0045484C" w:rsidRDefault="00717514" w:rsidP="006241FD">
      <w:pPr>
        <w:snapToGrid w:val="0"/>
        <w:spacing w:beforeLines="20" w:before="72" w:line="264" w:lineRule="auto"/>
        <w:jc w:val="right"/>
        <w:rPr>
          <w:sz w:val="20"/>
        </w:rPr>
      </w:pPr>
      <w:r w:rsidRPr="0045484C">
        <w:rPr>
          <w:sz w:val="20"/>
        </w:rPr>
        <w:t>Amended by the Dept. Affairs Meeting on</w:t>
      </w:r>
      <w:r w:rsidR="003A6F28" w:rsidRPr="0045484C">
        <w:rPr>
          <w:sz w:val="20"/>
        </w:rPr>
        <w:t xml:space="preserve"> January 19, 2022 and February 22, 2023 (Article 2 revised) </w:t>
      </w:r>
    </w:p>
    <w:p w14:paraId="14DEFF2F" w14:textId="77777777" w:rsidR="006241FD" w:rsidRPr="0045484C" w:rsidRDefault="006241FD" w:rsidP="006241FD">
      <w:pPr>
        <w:snapToGrid w:val="0"/>
        <w:spacing w:beforeLines="20" w:before="72" w:line="264" w:lineRule="auto"/>
        <w:jc w:val="right"/>
        <w:rPr>
          <w:sz w:val="18"/>
          <w:szCs w:val="18"/>
        </w:rPr>
      </w:pPr>
    </w:p>
    <w:p w14:paraId="49F05BEE" w14:textId="77777777" w:rsidR="006241FD" w:rsidRPr="0045484C" w:rsidRDefault="006241FD" w:rsidP="006241FD">
      <w:pPr>
        <w:numPr>
          <w:ilvl w:val="0"/>
          <w:numId w:val="3"/>
        </w:numPr>
        <w:snapToGrid w:val="0"/>
        <w:spacing w:beforeLines="20" w:before="72" w:line="264" w:lineRule="auto"/>
        <w:jc w:val="both"/>
        <w:rPr>
          <w:b/>
          <w:bCs/>
          <w:kern w:val="0"/>
          <w:sz w:val="24"/>
          <w:szCs w:val="24"/>
        </w:rPr>
      </w:pPr>
      <w:r w:rsidRPr="0045484C">
        <w:rPr>
          <w:b/>
          <w:bCs/>
          <w:kern w:val="0"/>
          <w:sz w:val="24"/>
          <w:szCs w:val="24"/>
        </w:rPr>
        <w:t>Basis</w:t>
      </w:r>
    </w:p>
    <w:p w14:paraId="25039999" w14:textId="3B0E7FEB"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These regulations are established in accordance with "</w:t>
      </w:r>
      <w:r w:rsidR="004D75E9" w:rsidRPr="0045484C">
        <w:rPr>
          <w:kern w:val="0"/>
          <w:sz w:val="24"/>
          <w:szCs w:val="24"/>
        </w:rPr>
        <w:t>The NCHU Regulation for Credit Exemption</w:t>
      </w:r>
      <w:r w:rsidR="00ED56B2" w:rsidRPr="0045484C">
        <w:rPr>
          <w:kern w:val="0"/>
          <w:sz w:val="24"/>
          <w:szCs w:val="24"/>
        </w:rPr>
        <w:t>.</w:t>
      </w:r>
      <w:r w:rsidRPr="0045484C">
        <w:rPr>
          <w:kern w:val="0"/>
          <w:sz w:val="24"/>
          <w:szCs w:val="24"/>
        </w:rPr>
        <w:t>"</w:t>
      </w:r>
    </w:p>
    <w:p w14:paraId="162837C9" w14:textId="77777777" w:rsidR="006241FD" w:rsidRPr="0045484C" w:rsidRDefault="006241FD" w:rsidP="006241FD">
      <w:pPr>
        <w:snapToGrid w:val="0"/>
        <w:spacing w:beforeLines="20" w:before="72" w:line="264" w:lineRule="auto"/>
        <w:jc w:val="both"/>
        <w:rPr>
          <w:kern w:val="0"/>
          <w:sz w:val="24"/>
          <w:szCs w:val="24"/>
        </w:rPr>
      </w:pPr>
    </w:p>
    <w:p w14:paraId="1FF0CC26" w14:textId="77777777" w:rsidR="006241FD" w:rsidRPr="0045484C" w:rsidRDefault="006241FD" w:rsidP="006241FD">
      <w:pPr>
        <w:numPr>
          <w:ilvl w:val="0"/>
          <w:numId w:val="3"/>
        </w:numPr>
        <w:snapToGrid w:val="0"/>
        <w:spacing w:beforeLines="20" w:before="72" w:line="264" w:lineRule="auto"/>
        <w:jc w:val="both"/>
        <w:rPr>
          <w:b/>
          <w:bCs/>
          <w:kern w:val="0"/>
          <w:sz w:val="24"/>
          <w:szCs w:val="24"/>
        </w:rPr>
      </w:pPr>
      <w:r w:rsidRPr="0045484C">
        <w:rPr>
          <w:b/>
          <w:bCs/>
          <w:kern w:val="0"/>
          <w:sz w:val="24"/>
          <w:szCs w:val="24"/>
        </w:rPr>
        <w:t>Application for Credit Transfer</w:t>
      </w:r>
    </w:p>
    <w:p w14:paraId="73D49522" w14:textId="40D40F6C"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New</w:t>
      </w:r>
      <w:r w:rsidR="001478DA" w:rsidRPr="0045484C">
        <w:rPr>
          <w:kern w:val="0"/>
          <w:sz w:val="24"/>
          <w:szCs w:val="24"/>
        </w:rPr>
        <w:t>ly enrolled</w:t>
      </w:r>
      <w:r w:rsidRPr="0045484C">
        <w:rPr>
          <w:kern w:val="0"/>
          <w:sz w:val="24"/>
          <w:szCs w:val="24"/>
        </w:rPr>
        <w:t xml:space="preserve"> students, transfer students, or students changing departments must apply for credit transfer (including </w:t>
      </w:r>
      <w:r w:rsidR="00CF70EE" w:rsidRPr="0045484C">
        <w:rPr>
          <w:kern w:val="0"/>
          <w:sz w:val="24"/>
          <w:szCs w:val="24"/>
        </w:rPr>
        <w:t xml:space="preserve">those with </w:t>
      </w:r>
      <w:r w:rsidRPr="0045484C">
        <w:rPr>
          <w:kern w:val="0"/>
          <w:sz w:val="24"/>
          <w:szCs w:val="24"/>
        </w:rPr>
        <w:t xml:space="preserve">exemption from courses) during the course selection period of their first semester. Applications can only be submitted </w:t>
      </w:r>
      <w:r w:rsidRPr="0045484C">
        <w:rPr>
          <w:b/>
          <w:bCs/>
          <w:kern w:val="0"/>
          <w:sz w:val="24"/>
          <w:szCs w:val="24"/>
        </w:rPr>
        <w:t>once</w:t>
      </w:r>
      <w:r w:rsidRPr="0045484C">
        <w:rPr>
          <w:kern w:val="0"/>
          <w:sz w:val="24"/>
          <w:szCs w:val="24"/>
        </w:rPr>
        <w:t>.</w:t>
      </w:r>
    </w:p>
    <w:p w14:paraId="3D6A368F" w14:textId="0046A1B8"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Credits eligible for transfer must come from courses taken at</w:t>
      </w:r>
      <w:r w:rsidR="00CF70EE" w:rsidRPr="0045484C">
        <w:rPr>
          <w:kern w:val="0"/>
          <w:sz w:val="24"/>
          <w:szCs w:val="24"/>
        </w:rPr>
        <w:t xml:space="preserve"> </w:t>
      </w:r>
      <w:r w:rsidRPr="0045484C">
        <w:rPr>
          <w:kern w:val="0"/>
          <w:sz w:val="24"/>
          <w:szCs w:val="24"/>
        </w:rPr>
        <w:t xml:space="preserve">colleges or universities. Courses from </w:t>
      </w:r>
      <w:r w:rsidRPr="0045484C">
        <w:rPr>
          <w:b/>
          <w:bCs/>
          <w:kern w:val="0"/>
          <w:sz w:val="24"/>
          <w:szCs w:val="24"/>
        </w:rPr>
        <w:t>extension or continuing education programs</w:t>
      </w:r>
      <w:r w:rsidRPr="0045484C">
        <w:rPr>
          <w:kern w:val="0"/>
          <w:sz w:val="24"/>
          <w:szCs w:val="24"/>
        </w:rPr>
        <w:t xml:space="preserve"> are only recognized if taken at this university. Courses from the first three years of five-year junior colleges are not eligible. Students must submit:</w:t>
      </w:r>
    </w:p>
    <w:p w14:paraId="2EBBD382" w14:textId="77777777" w:rsidR="006241FD" w:rsidRPr="0045484C" w:rsidRDefault="006241FD" w:rsidP="006241FD">
      <w:pPr>
        <w:numPr>
          <w:ilvl w:val="0"/>
          <w:numId w:val="1"/>
        </w:numPr>
        <w:snapToGrid w:val="0"/>
        <w:spacing w:beforeLines="20" w:before="72" w:line="264" w:lineRule="auto"/>
        <w:jc w:val="both"/>
        <w:rPr>
          <w:kern w:val="0"/>
          <w:sz w:val="24"/>
          <w:szCs w:val="24"/>
        </w:rPr>
      </w:pPr>
      <w:r w:rsidRPr="0045484C">
        <w:rPr>
          <w:kern w:val="0"/>
          <w:sz w:val="24"/>
          <w:szCs w:val="24"/>
        </w:rPr>
        <w:t>Official transcript showing passing grades (</w:t>
      </w:r>
      <w:r w:rsidRPr="0045484C">
        <w:rPr>
          <w:b/>
          <w:bCs/>
          <w:kern w:val="0"/>
          <w:sz w:val="24"/>
          <w:szCs w:val="24"/>
        </w:rPr>
        <w:t>60 or above for undergraduate courses; 70 or above for graduate courses</w:t>
      </w:r>
      <w:r w:rsidRPr="0045484C">
        <w:rPr>
          <w:kern w:val="0"/>
          <w:sz w:val="24"/>
          <w:szCs w:val="24"/>
        </w:rPr>
        <w:t>).</w:t>
      </w:r>
    </w:p>
    <w:p w14:paraId="76ADE79B" w14:textId="77777777" w:rsidR="006241FD" w:rsidRPr="0045484C" w:rsidRDefault="006241FD" w:rsidP="006241FD">
      <w:pPr>
        <w:numPr>
          <w:ilvl w:val="0"/>
          <w:numId w:val="1"/>
        </w:numPr>
        <w:snapToGrid w:val="0"/>
        <w:spacing w:beforeLines="20" w:before="72" w:line="264" w:lineRule="auto"/>
        <w:jc w:val="both"/>
        <w:rPr>
          <w:kern w:val="0"/>
          <w:sz w:val="24"/>
          <w:szCs w:val="24"/>
        </w:rPr>
      </w:pPr>
      <w:r w:rsidRPr="0045484C">
        <w:rPr>
          <w:kern w:val="0"/>
          <w:sz w:val="24"/>
          <w:szCs w:val="24"/>
        </w:rPr>
        <w:t>Relevant supporting documents for review.</w:t>
      </w:r>
    </w:p>
    <w:p w14:paraId="089B2D28" w14:textId="7F49F50A"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The transfer will be approved only after a review by the department chair. The review process includes the following:</w:t>
      </w:r>
    </w:p>
    <w:p w14:paraId="44201725" w14:textId="77777777" w:rsidR="006241FD" w:rsidRPr="0045484C" w:rsidRDefault="006241FD" w:rsidP="006241FD">
      <w:pPr>
        <w:numPr>
          <w:ilvl w:val="0"/>
          <w:numId w:val="2"/>
        </w:numPr>
        <w:snapToGrid w:val="0"/>
        <w:spacing w:beforeLines="20" w:before="72" w:line="264" w:lineRule="auto"/>
        <w:jc w:val="both"/>
        <w:rPr>
          <w:kern w:val="0"/>
          <w:sz w:val="24"/>
          <w:szCs w:val="24"/>
        </w:rPr>
      </w:pPr>
      <w:r w:rsidRPr="0045484C">
        <w:rPr>
          <w:b/>
          <w:bCs/>
          <w:kern w:val="0"/>
          <w:sz w:val="24"/>
          <w:szCs w:val="24"/>
        </w:rPr>
        <w:t>Course Similarity</w:t>
      </w:r>
      <w:r w:rsidRPr="0045484C">
        <w:rPr>
          <w:kern w:val="0"/>
          <w:sz w:val="24"/>
          <w:szCs w:val="24"/>
        </w:rPr>
        <w:t>:</w:t>
      </w:r>
    </w:p>
    <w:p w14:paraId="1E24C873" w14:textId="7777777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If the course title is similar or related, students must provide the original course syllabus.</w:t>
      </w:r>
    </w:p>
    <w:p w14:paraId="042AADBC" w14:textId="77777777" w:rsidR="006241FD" w:rsidRPr="0045484C" w:rsidRDefault="006241FD" w:rsidP="00C64BC9">
      <w:pPr>
        <w:numPr>
          <w:ilvl w:val="1"/>
          <w:numId w:val="2"/>
        </w:numPr>
        <w:tabs>
          <w:tab w:val="clear" w:pos="1440"/>
          <w:tab w:val="num" w:pos="993"/>
        </w:tabs>
        <w:snapToGrid w:val="0"/>
        <w:spacing w:beforeLines="20" w:before="72" w:line="264" w:lineRule="auto"/>
        <w:ind w:hanging="731"/>
        <w:jc w:val="both"/>
        <w:rPr>
          <w:kern w:val="0"/>
          <w:sz w:val="24"/>
          <w:szCs w:val="24"/>
        </w:rPr>
      </w:pPr>
      <w:r w:rsidRPr="0045484C">
        <w:rPr>
          <w:kern w:val="0"/>
          <w:sz w:val="24"/>
          <w:szCs w:val="24"/>
        </w:rPr>
        <w:t>A similarity level of 70% or higher is required for approval.</w:t>
      </w:r>
    </w:p>
    <w:p w14:paraId="7457C37C" w14:textId="35A06145"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For required courses offered by other departments in support of the Department of Mechanical Engineering, the same review process applies.</w:t>
      </w:r>
      <w:r w:rsidR="006D45F1" w:rsidRPr="0045484C">
        <w:rPr>
          <w:kern w:val="0"/>
          <w:sz w:val="24"/>
          <w:szCs w:val="24"/>
        </w:rPr>
        <w:t xml:space="preserve"> / The same process applies to compulsory courses offered by other departments that are required by this department.</w:t>
      </w:r>
    </w:p>
    <w:p w14:paraId="65F3631B" w14:textId="77777777" w:rsidR="006241FD" w:rsidRPr="0045484C" w:rsidRDefault="006241FD" w:rsidP="006241FD">
      <w:pPr>
        <w:numPr>
          <w:ilvl w:val="0"/>
          <w:numId w:val="2"/>
        </w:numPr>
        <w:snapToGrid w:val="0"/>
        <w:spacing w:beforeLines="20" w:before="72" w:line="264" w:lineRule="auto"/>
        <w:jc w:val="both"/>
        <w:rPr>
          <w:kern w:val="0"/>
          <w:sz w:val="24"/>
          <w:szCs w:val="24"/>
        </w:rPr>
      </w:pPr>
      <w:r w:rsidRPr="0045484C">
        <w:rPr>
          <w:b/>
          <w:bCs/>
          <w:kern w:val="0"/>
          <w:sz w:val="24"/>
          <w:szCs w:val="24"/>
        </w:rPr>
        <w:t xml:space="preserve">Credit </w:t>
      </w:r>
      <w:bookmarkStart w:id="0" w:name="_Hlk186451706"/>
      <w:r w:rsidRPr="0045484C">
        <w:rPr>
          <w:b/>
          <w:bCs/>
          <w:kern w:val="0"/>
          <w:sz w:val="24"/>
          <w:szCs w:val="24"/>
        </w:rPr>
        <w:t>Disparity</w:t>
      </w:r>
      <w:bookmarkEnd w:id="0"/>
      <w:r w:rsidRPr="0045484C">
        <w:rPr>
          <w:kern w:val="0"/>
          <w:sz w:val="24"/>
          <w:szCs w:val="24"/>
        </w:rPr>
        <w:t>:</w:t>
      </w:r>
    </w:p>
    <w:p w14:paraId="452DF4C6" w14:textId="0CB56E9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If the credit hours differ, a higher number of credits can cover a lower number, but the final recorded credits will</w:t>
      </w:r>
      <w:r w:rsidR="006D45F1" w:rsidRPr="0045484C">
        <w:rPr>
          <w:kern w:val="0"/>
          <w:sz w:val="24"/>
          <w:szCs w:val="24"/>
        </w:rPr>
        <w:t xml:space="preserve"> not be the greater number but will</w:t>
      </w:r>
      <w:r w:rsidRPr="0045484C">
        <w:rPr>
          <w:kern w:val="0"/>
          <w:sz w:val="24"/>
          <w:szCs w:val="24"/>
        </w:rPr>
        <w:t xml:space="preserve"> match the lower number.</w:t>
      </w:r>
      <w:r w:rsidR="006D45F1" w:rsidRPr="0045484C">
        <w:rPr>
          <w:kern w:val="0"/>
          <w:sz w:val="24"/>
          <w:szCs w:val="24"/>
        </w:rPr>
        <w:t xml:space="preserve"> </w:t>
      </w:r>
      <w:r w:rsidR="00990304" w:rsidRPr="0045484C">
        <w:rPr>
          <w:kern w:val="0"/>
          <w:sz w:val="24"/>
          <w:szCs w:val="24"/>
        </w:rPr>
        <w:t>Fewer credit hours cannot be matched to greater credit hours.</w:t>
      </w:r>
      <w:r w:rsidR="006D45F1" w:rsidRPr="0045484C">
        <w:rPr>
          <w:kern w:val="0"/>
          <w:sz w:val="24"/>
          <w:szCs w:val="24"/>
        </w:rPr>
        <w:t xml:space="preserve"> </w:t>
      </w:r>
    </w:p>
    <w:p w14:paraId="0F143456" w14:textId="7777777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If only one semester of a year-long departmental course is transferred, the student must make up for the missing credits.</w:t>
      </w:r>
    </w:p>
    <w:p w14:paraId="15288A02" w14:textId="77777777" w:rsidR="006241FD" w:rsidRPr="0045484C" w:rsidRDefault="006241FD" w:rsidP="006241FD">
      <w:pPr>
        <w:numPr>
          <w:ilvl w:val="0"/>
          <w:numId w:val="2"/>
        </w:numPr>
        <w:snapToGrid w:val="0"/>
        <w:spacing w:beforeLines="20" w:before="72" w:line="264" w:lineRule="auto"/>
        <w:jc w:val="both"/>
        <w:rPr>
          <w:kern w:val="0"/>
          <w:sz w:val="24"/>
          <w:szCs w:val="24"/>
        </w:rPr>
      </w:pPr>
      <w:r w:rsidRPr="0045484C">
        <w:rPr>
          <w:b/>
          <w:bCs/>
          <w:kern w:val="0"/>
          <w:sz w:val="24"/>
          <w:szCs w:val="24"/>
        </w:rPr>
        <w:t>Graduate Courses Taken During Undergraduate Studies</w:t>
      </w:r>
      <w:r w:rsidRPr="0045484C">
        <w:rPr>
          <w:kern w:val="0"/>
          <w:sz w:val="24"/>
          <w:szCs w:val="24"/>
        </w:rPr>
        <w:t>:</w:t>
      </w:r>
    </w:p>
    <w:p w14:paraId="4F431C22" w14:textId="50745A44"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Graduate-level courses taken during undergraduate studies and not counted toward undergraduate graduation credits may</w:t>
      </w:r>
      <w:r w:rsidR="003A4BFB" w:rsidRPr="0045484C">
        <w:rPr>
          <w:kern w:val="0"/>
          <w:sz w:val="24"/>
          <w:szCs w:val="24"/>
        </w:rPr>
        <w:t xml:space="preserve"> be counted toward graduate program credits upon approval by the C</w:t>
      </w:r>
      <w:r w:rsidR="007F119D" w:rsidRPr="0045484C">
        <w:rPr>
          <w:kern w:val="0"/>
          <w:sz w:val="24"/>
          <w:szCs w:val="24"/>
        </w:rPr>
        <w:t>urricu</w:t>
      </w:r>
      <w:r w:rsidR="008F6758" w:rsidRPr="0045484C">
        <w:rPr>
          <w:kern w:val="0"/>
          <w:sz w:val="24"/>
          <w:szCs w:val="24"/>
        </w:rPr>
        <w:t>lu</w:t>
      </w:r>
      <w:r w:rsidR="007F119D" w:rsidRPr="0045484C">
        <w:rPr>
          <w:kern w:val="0"/>
          <w:sz w:val="24"/>
          <w:szCs w:val="24"/>
        </w:rPr>
        <w:t>m</w:t>
      </w:r>
      <w:r w:rsidR="003A4BFB" w:rsidRPr="0045484C">
        <w:rPr>
          <w:kern w:val="0"/>
          <w:sz w:val="24"/>
          <w:szCs w:val="24"/>
        </w:rPr>
        <w:t xml:space="preserve"> Committee</w:t>
      </w:r>
      <w:r w:rsidRPr="0045484C">
        <w:rPr>
          <w:kern w:val="0"/>
          <w:sz w:val="24"/>
          <w:szCs w:val="24"/>
        </w:rPr>
        <w:t>.</w:t>
      </w:r>
    </w:p>
    <w:p w14:paraId="5C9B2109" w14:textId="7777777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 xml:space="preserve">Such transferred credits cannot exceed </w:t>
      </w:r>
      <w:r w:rsidRPr="0045484C">
        <w:rPr>
          <w:b/>
          <w:bCs/>
          <w:kern w:val="0"/>
          <w:sz w:val="24"/>
          <w:szCs w:val="24"/>
        </w:rPr>
        <w:t>half</w:t>
      </w:r>
      <w:r w:rsidRPr="0045484C">
        <w:rPr>
          <w:kern w:val="0"/>
          <w:sz w:val="24"/>
          <w:szCs w:val="24"/>
        </w:rPr>
        <w:t xml:space="preserve"> of the total graduation credits (excluding </w:t>
      </w:r>
      <w:r w:rsidRPr="0045484C">
        <w:rPr>
          <w:kern w:val="0"/>
          <w:sz w:val="24"/>
          <w:szCs w:val="24"/>
        </w:rPr>
        <w:lastRenderedPageBreak/>
        <w:t>thesis credits).</w:t>
      </w:r>
    </w:p>
    <w:p w14:paraId="464F4A8F" w14:textId="0D54AE54"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However, undergraduate students from the Department of Mechanical Engineering who take courses in the department’s master’s program (excluding the in-service master’s program) may be exempted from this limitation with the approval of the department chair.</w:t>
      </w:r>
    </w:p>
    <w:p w14:paraId="6AEC2630" w14:textId="77777777" w:rsidR="006241FD" w:rsidRPr="0045484C" w:rsidRDefault="006241FD" w:rsidP="006241FD">
      <w:pPr>
        <w:numPr>
          <w:ilvl w:val="0"/>
          <w:numId w:val="2"/>
        </w:numPr>
        <w:snapToGrid w:val="0"/>
        <w:spacing w:beforeLines="20" w:before="72" w:line="264" w:lineRule="auto"/>
        <w:jc w:val="both"/>
        <w:rPr>
          <w:kern w:val="0"/>
          <w:sz w:val="24"/>
          <w:szCs w:val="24"/>
        </w:rPr>
      </w:pPr>
      <w:r w:rsidRPr="0045484C">
        <w:rPr>
          <w:b/>
          <w:bCs/>
          <w:kern w:val="0"/>
          <w:sz w:val="24"/>
          <w:szCs w:val="24"/>
        </w:rPr>
        <w:t>Graduate and Doctoral Programs</w:t>
      </w:r>
      <w:r w:rsidRPr="0045484C">
        <w:rPr>
          <w:kern w:val="0"/>
          <w:sz w:val="24"/>
          <w:szCs w:val="24"/>
        </w:rPr>
        <w:t>:</w:t>
      </w:r>
    </w:p>
    <w:p w14:paraId="00820244" w14:textId="7777777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 xml:space="preserve">For new students in master's, doctoral, or in-service master's programs, credit transfer is limited to </w:t>
      </w:r>
      <w:r w:rsidRPr="0045484C">
        <w:rPr>
          <w:b/>
          <w:bCs/>
          <w:kern w:val="0"/>
          <w:sz w:val="24"/>
          <w:szCs w:val="24"/>
        </w:rPr>
        <w:t>half</w:t>
      </w:r>
      <w:r w:rsidRPr="0045484C">
        <w:rPr>
          <w:kern w:val="0"/>
          <w:sz w:val="24"/>
          <w:szCs w:val="24"/>
        </w:rPr>
        <w:t xml:space="preserve"> of the total graduation credits required (excluding thesis credits).</w:t>
      </w:r>
    </w:p>
    <w:p w14:paraId="169DA3E0" w14:textId="77777777" w:rsidR="006241FD" w:rsidRPr="0045484C" w:rsidRDefault="006241FD" w:rsidP="00C64BC9">
      <w:pPr>
        <w:numPr>
          <w:ilvl w:val="1"/>
          <w:numId w:val="2"/>
        </w:numPr>
        <w:tabs>
          <w:tab w:val="clear" w:pos="1440"/>
          <w:tab w:val="num" w:pos="993"/>
        </w:tabs>
        <w:snapToGrid w:val="0"/>
        <w:spacing w:beforeLines="20" w:before="72" w:line="264" w:lineRule="auto"/>
        <w:ind w:left="993" w:hanging="284"/>
        <w:jc w:val="both"/>
        <w:rPr>
          <w:kern w:val="0"/>
          <w:sz w:val="24"/>
          <w:szCs w:val="24"/>
        </w:rPr>
      </w:pPr>
      <w:r w:rsidRPr="0045484C">
        <w:rPr>
          <w:kern w:val="0"/>
          <w:sz w:val="24"/>
          <w:szCs w:val="24"/>
        </w:rPr>
        <w:t xml:space="preserve">For graduates or alumni of the department’s graduate programs who take master's or doctoral courses in the department, credits transferred can account for up to </w:t>
      </w:r>
      <w:r w:rsidRPr="0045484C">
        <w:rPr>
          <w:b/>
          <w:bCs/>
          <w:kern w:val="0"/>
          <w:sz w:val="24"/>
          <w:szCs w:val="24"/>
        </w:rPr>
        <w:t>two-thirds</w:t>
      </w:r>
      <w:r w:rsidRPr="0045484C">
        <w:rPr>
          <w:kern w:val="0"/>
          <w:sz w:val="24"/>
          <w:szCs w:val="24"/>
        </w:rPr>
        <w:t xml:space="preserve"> of the total graduation credits (excluding thesis credits).</w:t>
      </w:r>
    </w:p>
    <w:p w14:paraId="38A4928E" w14:textId="77777777" w:rsidR="006241FD" w:rsidRPr="0045484C" w:rsidRDefault="006241FD" w:rsidP="006241FD">
      <w:pPr>
        <w:snapToGrid w:val="0"/>
        <w:spacing w:beforeLines="20" w:before="72" w:line="264" w:lineRule="auto"/>
        <w:jc w:val="both"/>
        <w:rPr>
          <w:kern w:val="0"/>
          <w:sz w:val="24"/>
          <w:szCs w:val="24"/>
        </w:rPr>
      </w:pPr>
    </w:p>
    <w:p w14:paraId="1C97302F" w14:textId="77777777" w:rsidR="006241FD" w:rsidRPr="0045484C" w:rsidRDefault="006241FD" w:rsidP="006241FD">
      <w:pPr>
        <w:numPr>
          <w:ilvl w:val="0"/>
          <w:numId w:val="3"/>
        </w:numPr>
        <w:snapToGrid w:val="0"/>
        <w:spacing w:beforeLines="20" w:before="72" w:line="264" w:lineRule="auto"/>
        <w:jc w:val="both"/>
        <w:rPr>
          <w:b/>
          <w:bCs/>
          <w:kern w:val="0"/>
          <w:sz w:val="24"/>
          <w:szCs w:val="24"/>
        </w:rPr>
      </w:pPr>
      <w:r w:rsidRPr="0045484C">
        <w:rPr>
          <w:b/>
          <w:bCs/>
          <w:kern w:val="0"/>
          <w:sz w:val="24"/>
          <w:szCs w:val="24"/>
        </w:rPr>
        <w:t>External Required Courses</w:t>
      </w:r>
    </w:p>
    <w:p w14:paraId="6F204E18" w14:textId="34F608C8"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Students taking required courses in other departments must comply with the "Regulations on Approval for Required Courses Taken in Other Departments by Department of Mechanical Engineering Students" to qualify for credit transfer.</w:t>
      </w:r>
    </w:p>
    <w:p w14:paraId="4560D273" w14:textId="77777777" w:rsidR="006241FD" w:rsidRPr="0045484C" w:rsidRDefault="006241FD" w:rsidP="006241FD">
      <w:pPr>
        <w:snapToGrid w:val="0"/>
        <w:spacing w:beforeLines="20" w:before="72" w:line="264" w:lineRule="auto"/>
        <w:jc w:val="both"/>
        <w:rPr>
          <w:kern w:val="0"/>
          <w:sz w:val="24"/>
          <w:szCs w:val="24"/>
        </w:rPr>
      </w:pPr>
    </w:p>
    <w:p w14:paraId="2E7656A0" w14:textId="77777777" w:rsidR="006241FD" w:rsidRPr="0045484C" w:rsidRDefault="006241FD" w:rsidP="006241FD">
      <w:pPr>
        <w:numPr>
          <w:ilvl w:val="0"/>
          <w:numId w:val="3"/>
        </w:numPr>
        <w:snapToGrid w:val="0"/>
        <w:spacing w:beforeLines="20" w:before="72" w:line="264" w:lineRule="auto"/>
        <w:jc w:val="both"/>
        <w:rPr>
          <w:b/>
          <w:bCs/>
          <w:kern w:val="0"/>
          <w:sz w:val="24"/>
          <w:szCs w:val="24"/>
        </w:rPr>
      </w:pPr>
      <w:r w:rsidRPr="0045484C">
        <w:rPr>
          <w:b/>
          <w:bCs/>
          <w:kern w:val="0"/>
          <w:sz w:val="24"/>
          <w:szCs w:val="24"/>
        </w:rPr>
        <w:t>Additional Provisions</w:t>
      </w:r>
    </w:p>
    <w:p w14:paraId="0CE61198" w14:textId="77777777"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Any matters not covered by these regulations will be handled in accordance with relevant laws and regulations.</w:t>
      </w:r>
    </w:p>
    <w:p w14:paraId="713DA30C" w14:textId="77777777" w:rsidR="006241FD" w:rsidRPr="0045484C" w:rsidRDefault="006241FD" w:rsidP="006241FD">
      <w:pPr>
        <w:snapToGrid w:val="0"/>
        <w:spacing w:beforeLines="20" w:before="72" w:line="264" w:lineRule="auto"/>
        <w:jc w:val="both"/>
        <w:rPr>
          <w:kern w:val="0"/>
          <w:sz w:val="24"/>
          <w:szCs w:val="24"/>
        </w:rPr>
      </w:pPr>
    </w:p>
    <w:p w14:paraId="64A4F15A" w14:textId="77777777" w:rsidR="006241FD" w:rsidRPr="0045484C" w:rsidRDefault="006241FD" w:rsidP="006241FD">
      <w:pPr>
        <w:numPr>
          <w:ilvl w:val="0"/>
          <w:numId w:val="3"/>
        </w:numPr>
        <w:snapToGrid w:val="0"/>
        <w:spacing w:beforeLines="20" w:before="72" w:line="264" w:lineRule="auto"/>
        <w:jc w:val="both"/>
        <w:rPr>
          <w:b/>
          <w:bCs/>
          <w:kern w:val="0"/>
          <w:sz w:val="24"/>
          <w:szCs w:val="24"/>
        </w:rPr>
      </w:pPr>
      <w:r w:rsidRPr="0045484C">
        <w:rPr>
          <w:b/>
          <w:bCs/>
          <w:kern w:val="0"/>
          <w:sz w:val="24"/>
          <w:szCs w:val="24"/>
        </w:rPr>
        <w:t>Implementation and Revision</w:t>
      </w:r>
    </w:p>
    <w:p w14:paraId="26CBFC6A" w14:textId="77777777" w:rsidR="006241FD" w:rsidRPr="0045484C" w:rsidRDefault="006241FD" w:rsidP="006241FD">
      <w:pPr>
        <w:snapToGrid w:val="0"/>
        <w:spacing w:beforeLines="20" w:before="72" w:line="264" w:lineRule="auto"/>
        <w:jc w:val="both"/>
        <w:rPr>
          <w:kern w:val="0"/>
          <w:sz w:val="24"/>
          <w:szCs w:val="24"/>
        </w:rPr>
      </w:pPr>
      <w:r w:rsidRPr="0045484C">
        <w:rPr>
          <w:kern w:val="0"/>
          <w:sz w:val="24"/>
          <w:szCs w:val="24"/>
        </w:rPr>
        <w:t>These regulations take effect upon approval by the Department Affairs Meeting. The same procedure applies to any future amendments.</w:t>
      </w:r>
    </w:p>
    <w:p w14:paraId="7A9F2580" w14:textId="77777777" w:rsidR="006241FD" w:rsidRPr="0045484C" w:rsidRDefault="006241FD" w:rsidP="006241FD">
      <w:pPr>
        <w:snapToGrid w:val="0"/>
        <w:spacing w:beforeLines="20" w:before="72" w:line="264" w:lineRule="auto"/>
        <w:jc w:val="both"/>
        <w:rPr>
          <w:kern w:val="0"/>
          <w:sz w:val="24"/>
          <w:szCs w:val="24"/>
        </w:rPr>
      </w:pPr>
    </w:p>
    <w:p w14:paraId="466EAC24" w14:textId="5F96BDA3" w:rsidR="006241FD" w:rsidRPr="0045484C" w:rsidRDefault="006241FD" w:rsidP="006241FD">
      <w:pPr>
        <w:snapToGrid w:val="0"/>
        <w:spacing w:beforeLines="20" w:before="72" w:line="264" w:lineRule="auto"/>
        <w:jc w:val="both"/>
        <w:rPr>
          <w:kern w:val="0"/>
          <w:sz w:val="24"/>
          <w:szCs w:val="24"/>
        </w:rPr>
      </w:pPr>
      <w:r w:rsidRPr="0045484C">
        <w:rPr>
          <w:i/>
          <w:iCs/>
          <w:kern w:val="0"/>
          <w:sz w:val="24"/>
          <w:szCs w:val="24"/>
        </w:rPr>
        <w:t xml:space="preserve">Note: Applicable to students admitted from the </w:t>
      </w:r>
      <w:r w:rsidR="003A4BFB" w:rsidRPr="0045484C">
        <w:rPr>
          <w:i/>
          <w:iCs/>
          <w:kern w:val="0"/>
          <w:sz w:val="24"/>
          <w:szCs w:val="24"/>
        </w:rPr>
        <w:t>112th</w:t>
      </w:r>
      <w:r w:rsidRPr="0045484C">
        <w:rPr>
          <w:i/>
          <w:iCs/>
          <w:kern w:val="0"/>
          <w:sz w:val="24"/>
          <w:szCs w:val="24"/>
        </w:rPr>
        <w:t xml:space="preserve"> academic year onward.</w:t>
      </w:r>
    </w:p>
    <w:p w14:paraId="1ECEB8AC" w14:textId="77777777" w:rsidR="006241FD" w:rsidRPr="0045484C" w:rsidRDefault="006241FD" w:rsidP="006241FD">
      <w:pPr>
        <w:snapToGrid w:val="0"/>
        <w:spacing w:beforeLines="20" w:before="72" w:line="264" w:lineRule="auto"/>
        <w:jc w:val="both"/>
        <w:rPr>
          <w:sz w:val="24"/>
          <w:szCs w:val="24"/>
        </w:rPr>
      </w:pPr>
    </w:p>
    <w:p w14:paraId="4A8A6CBE" w14:textId="77777777" w:rsidR="007D27AC" w:rsidRPr="0045484C" w:rsidRDefault="007D27AC">
      <w:pPr>
        <w:rPr>
          <w:rFonts w:ascii="Arial" w:hAnsi="Arial" w:cs="Arial"/>
        </w:rPr>
      </w:pPr>
    </w:p>
    <w:sectPr w:rsidR="007D27AC" w:rsidRPr="0045484C" w:rsidSect="002F7FB0">
      <w:pgSz w:w="11906" w:h="16838"/>
      <w:pgMar w:top="1259" w:right="1440" w:bottom="539" w:left="1440" w:header="18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DA02C" w14:textId="77777777" w:rsidR="007F038F" w:rsidRDefault="007F038F" w:rsidP="002F7FB0">
      <w:r>
        <w:separator/>
      </w:r>
    </w:p>
  </w:endnote>
  <w:endnote w:type="continuationSeparator" w:id="0">
    <w:p w14:paraId="2963A830" w14:textId="77777777" w:rsidR="007F038F" w:rsidRDefault="007F038F" w:rsidP="002F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055C" w14:textId="77777777" w:rsidR="007F038F" w:rsidRDefault="007F038F" w:rsidP="002F7FB0">
      <w:r>
        <w:separator/>
      </w:r>
    </w:p>
  </w:footnote>
  <w:footnote w:type="continuationSeparator" w:id="0">
    <w:p w14:paraId="63D14FCA" w14:textId="77777777" w:rsidR="007F038F" w:rsidRDefault="007F038F" w:rsidP="002F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4D1D"/>
    <w:multiLevelType w:val="hybridMultilevel"/>
    <w:tmpl w:val="8848D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B1A6F52"/>
    <w:multiLevelType w:val="multilevel"/>
    <w:tmpl w:val="ED6E4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540490"/>
    <w:multiLevelType w:val="multilevel"/>
    <w:tmpl w:val="51FA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45114">
    <w:abstractNumId w:val="2"/>
  </w:num>
  <w:num w:numId="2" w16cid:durableId="1301038076">
    <w:abstractNumId w:val="1"/>
  </w:num>
  <w:num w:numId="3" w16cid:durableId="188004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FD"/>
    <w:rsid w:val="00023061"/>
    <w:rsid w:val="00062459"/>
    <w:rsid w:val="0012681A"/>
    <w:rsid w:val="001478DA"/>
    <w:rsid w:val="002D0298"/>
    <w:rsid w:val="002F7FB0"/>
    <w:rsid w:val="003A4BFB"/>
    <w:rsid w:val="003A6F28"/>
    <w:rsid w:val="0045484C"/>
    <w:rsid w:val="004D75E9"/>
    <w:rsid w:val="005E3F68"/>
    <w:rsid w:val="006241FD"/>
    <w:rsid w:val="006D45F1"/>
    <w:rsid w:val="006D5D93"/>
    <w:rsid w:val="00717514"/>
    <w:rsid w:val="00793BDB"/>
    <w:rsid w:val="007D27AC"/>
    <w:rsid w:val="007F038F"/>
    <w:rsid w:val="007F119D"/>
    <w:rsid w:val="00832071"/>
    <w:rsid w:val="00865B3E"/>
    <w:rsid w:val="008D6665"/>
    <w:rsid w:val="008F6758"/>
    <w:rsid w:val="00990304"/>
    <w:rsid w:val="009B508F"/>
    <w:rsid w:val="00B52046"/>
    <w:rsid w:val="00C64BC9"/>
    <w:rsid w:val="00CF70EE"/>
    <w:rsid w:val="00E9056C"/>
    <w:rsid w:val="00ED56B2"/>
    <w:rsid w:val="00ED76A6"/>
    <w:rsid w:val="00F667A1"/>
    <w:rsid w:val="00FF0B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AEC9B"/>
  <w15:chartTrackingRefBased/>
  <w15:docId w15:val="{ED9CB3E2-195B-4AFC-95A6-8AC66E0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1FD"/>
    <w:pPr>
      <w:widowControl w:val="0"/>
      <w:spacing w:after="0" w:line="240" w:lineRule="auto"/>
    </w:pPr>
    <w:rPr>
      <w:rFonts w:ascii="Times New Roman" w:eastAsia="標楷體" w:hAnsi="Times New Roman" w:cs="Times New Roman"/>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FB0"/>
    <w:pPr>
      <w:tabs>
        <w:tab w:val="center" w:pos="4153"/>
        <w:tab w:val="right" w:pos="8306"/>
      </w:tabs>
      <w:snapToGrid w:val="0"/>
    </w:pPr>
    <w:rPr>
      <w:sz w:val="20"/>
    </w:rPr>
  </w:style>
  <w:style w:type="character" w:customStyle="1" w:styleId="a4">
    <w:name w:val="頁首 字元"/>
    <w:basedOn w:val="a0"/>
    <w:link w:val="a3"/>
    <w:uiPriority w:val="99"/>
    <w:rsid w:val="002F7FB0"/>
    <w:rPr>
      <w:rFonts w:ascii="Times New Roman" w:eastAsia="標楷體" w:hAnsi="Times New Roman" w:cs="Times New Roman"/>
      <w:kern w:val="2"/>
      <w:sz w:val="20"/>
      <w:szCs w:val="20"/>
    </w:rPr>
  </w:style>
  <w:style w:type="paragraph" w:styleId="a5">
    <w:name w:val="footer"/>
    <w:basedOn w:val="a"/>
    <w:link w:val="a6"/>
    <w:uiPriority w:val="99"/>
    <w:unhideWhenUsed/>
    <w:rsid w:val="002F7FB0"/>
    <w:pPr>
      <w:tabs>
        <w:tab w:val="center" w:pos="4153"/>
        <w:tab w:val="right" w:pos="8306"/>
      </w:tabs>
      <w:snapToGrid w:val="0"/>
    </w:pPr>
    <w:rPr>
      <w:sz w:val="20"/>
    </w:rPr>
  </w:style>
  <w:style w:type="character" w:customStyle="1" w:styleId="a6">
    <w:name w:val="頁尾 字元"/>
    <w:basedOn w:val="a0"/>
    <w:link w:val="a5"/>
    <w:uiPriority w:val="99"/>
    <w:rsid w:val="002F7FB0"/>
    <w:rPr>
      <w:rFonts w:ascii="Times New Roman" w:eastAsia="標楷體"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2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yi-chuang@dragon.nchu.edu.tw</cp:lastModifiedBy>
  <cp:revision>18</cp:revision>
  <dcterms:created xsi:type="dcterms:W3CDTF">2024-12-24T02:05:00Z</dcterms:created>
  <dcterms:modified xsi:type="dcterms:W3CDTF">2025-01-03T07:17:00Z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c938de476a3f962cafb8019de56f298633c8c7d4b57c6ceae5383f1807a0abef</vt:lpwstr>
  </property>
</Properties>
</file>